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27324" w14:textId="77777777" w:rsidR="00AA4556" w:rsidRPr="00AA4556" w:rsidRDefault="00AA4556" w:rsidP="00AA4556">
      <w:pPr>
        <w:spacing w:after="0" w:line="240" w:lineRule="auto"/>
        <w:jc w:val="both"/>
        <w:rPr>
          <w:rFonts w:eastAsia="Times New Roman" w:cstheme="minorHAnsi"/>
          <w:b/>
          <w:bCs/>
          <w:u w:val="single"/>
          <w:lang w:val="en-US"/>
        </w:rPr>
      </w:pPr>
      <w:r w:rsidRPr="00AA4556">
        <w:rPr>
          <w:rFonts w:eastAsia="Times New Roman" w:cstheme="minorHAnsi"/>
          <w:b/>
          <w:u w:val="single"/>
          <w:lang w:val="en-US"/>
        </w:rPr>
        <w:t>Polymeric Fluorescence Standards from Medium-Independent Emitters</w:t>
      </w:r>
    </w:p>
    <w:p w14:paraId="7153B08B" w14:textId="77777777" w:rsidR="00AA4556" w:rsidRDefault="00AA4556" w:rsidP="007126EA">
      <w:pPr>
        <w:jc w:val="both"/>
        <w:rPr>
          <w:rFonts w:asciiTheme="majorHAnsi" w:hAnsiTheme="majorHAnsi" w:cs="Times"/>
          <w:bCs/>
          <w:szCs w:val="24"/>
        </w:rPr>
      </w:pPr>
    </w:p>
    <w:p w14:paraId="0DB76DFD" w14:textId="4D0AC708" w:rsidR="00AA4556" w:rsidRDefault="00AA4556" w:rsidP="007126EA">
      <w:pPr>
        <w:jc w:val="both"/>
        <w:rPr>
          <w:rFonts w:asciiTheme="majorHAnsi" w:hAnsiTheme="majorHAnsi" w:cs="Times"/>
          <w:bCs/>
          <w:i/>
          <w:szCs w:val="24"/>
        </w:rPr>
      </w:pPr>
      <w:r>
        <w:rPr>
          <w:rFonts w:asciiTheme="majorHAnsi" w:hAnsiTheme="majorHAnsi" w:cs="Times"/>
          <w:bCs/>
          <w:i/>
          <w:szCs w:val="24"/>
        </w:rPr>
        <w:t xml:space="preserve">Dr Paul </w:t>
      </w:r>
      <w:proofErr w:type="spellStart"/>
      <w:r>
        <w:rPr>
          <w:rFonts w:asciiTheme="majorHAnsi" w:hAnsiTheme="majorHAnsi" w:cs="Times"/>
          <w:bCs/>
          <w:i/>
          <w:szCs w:val="24"/>
        </w:rPr>
        <w:t>McGonigal</w:t>
      </w:r>
      <w:proofErr w:type="spellEnd"/>
      <w:r>
        <w:rPr>
          <w:rFonts w:asciiTheme="majorHAnsi" w:hAnsiTheme="majorHAnsi" w:cs="Times"/>
          <w:bCs/>
          <w:i/>
          <w:szCs w:val="24"/>
        </w:rPr>
        <w:t xml:space="preserve"> (Durham University)</w:t>
      </w:r>
    </w:p>
    <w:p w14:paraId="31825BB8" w14:textId="77777777" w:rsidR="00AA4556" w:rsidRPr="00AA4556" w:rsidRDefault="00AA4556" w:rsidP="007126EA">
      <w:pPr>
        <w:jc w:val="both"/>
        <w:rPr>
          <w:rFonts w:asciiTheme="majorHAnsi" w:hAnsiTheme="majorHAnsi" w:cs="Times"/>
          <w:bCs/>
          <w:i/>
          <w:szCs w:val="24"/>
        </w:rPr>
      </w:pPr>
      <w:bookmarkStart w:id="0" w:name="_GoBack"/>
      <w:bookmarkEnd w:id="0"/>
    </w:p>
    <w:p w14:paraId="5521B525" w14:textId="32A8B869" w:rsidR="00352FBA" w:rsidRPr="00F9017E" w:rsidRDefault="000F0F34" w:rsidP="007126EA">
      <w:pPr>
        <w:jc w:val="both"/>
        <w:rPr>
          <w:rFonts w:asciiTheme="majorHAnsi" w:hAnsiTheme="majorHAnsi" w:cs="Times"/>
          <w:bCs/>
          <w:szCs w:val="24"/>
        </w:rPr>
      </w:pPr>
      <w:r w:rsidRPr="00F9017E">
        <w:rPr>
          <w:rFonts w:asciiTheme="majorHAnsi" w:hAnsiTheme="majorHAnsi" w:cs="Times"/>
          <w:bCs/>
          <w:noProof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150ECE85" wp14:editId="49B81AA5">
            <wp:simplePos x="0" y="0"/>
            <wp:positionH relativeFrom="margin">
              <wp:align>right</wp:align>
            </wp:positionH>
            <wp:positionV relativeFrom="paragraph">
              <wp:posOffset>961101</wp:posOffset>
            </wp:positionV>
            <wp:extent cx="1555200" cy="2034000"/>
            <wp:effectExtent l="19050" t="19050" r="26035" b="2349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00" cy="203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9F0">
        <w:rPr>
          <w:rFonts w:asciiTheme="majorHAnsi" w:hAnsiTheme="majorHAnsi" w:cs="Times"/>
          <w:bCs/>
          <w:szCs w:val="24"/>
        </w:rPr>
        <w:t xml:space="preserve">Solutions of fluorescent compounds </w:t>
      </w:r>
      <w:proofErr w:type="gramStart"/>
      <w:r w:rsidR="00B659F0">
        <w:rPr>
          <w:rFonts w:asciiTheme="majorHAnsi" w:hAnsiTheme="majorHAnsi" w:cs="Times"/>
          <w:bCs/>
          <w:szCs w:val="24"/>
        </w:rPr>
        <w:t>are typically used</w:t>
      </w:r>
      <w:proofErr w:type="gramEnd"/>
      <w:r w:rsidR="00BE221D">
        <w:rPr>
          <w:rFonts w:asciiTheme="majorHAnsi" w:hAnsiTheme="majorHAnsi" w:cs="Times"/>
          <w:bCs/>
          <w:szCs w:val="24"/>
        </w:rPr>
        <w:t xml:space="preserve"> as reference materials by industry and government to accurately calibrate the analytical equipment</w:t>
      </w:r>
      <w:r w:rsidR="00E4616C">
        <w:rPr>
          <w:rFonts w:asciiTheme="majorHAnsi" w:hAnsiTheme="majorHAnsi" w:cs="Times"/>
          <w:bCs/>
          <w:szCs w:val="24"/>
        </w:rPr>
        <w:t xml:space="preserve"> used in water</w:t>
      </w:r>
      <w:r w:rsidR="000C5695">
        <w:rPr>
          <w:rFonts w:asciiTheme="majorHAnsi" w:hAnsiTheme="majorHAnsi" w:cs="Times"/>
          <w:bCs/>
          <w:szCs w:val="24"/>
        </w:rPr>
        <w:t xml:space="preserve"> and food quality analyses. </w:t>
      </w:r>
      <w:proofErr w:type="gramStart"/>
      <w:r w:rsidR="00660512">
        <w:rPr>
          <w:rFonts w:asciiTheme="majorHAnsi" w:hAnsiTheme="majorHAnsi" w:cs="Times"/>
          <w:bCs/>
          <w:szCs w:val="24"/>
        </w:rPr>
        <w:t>But</w:t>
      </w:r>
      <w:proofErr w:type="gramEnd"/>
      <w:r w:rsidR="0005084D">
        <w:rPr>
          <w:rFonts w:asciiTheme="majorHAnsi" w:hAnsiTheme="majorHAnsi" w:cs="Times"/>
          <w:bCs/>
          <w:szCs w:val="24"/>
        </w:rPr>
        <w:t>, rather than using solutions,</w:t>
      </w:r>
      <w:r w:rsidR="00660512">
        <w:rPr>
          <w:rFonts w:asciiTheme="majorHAnsi" w:hAnsiTheme="majorHAnsi" w:cs="Times"/>
          <w:bCs/>
          <w:szCs w:val="24"/>
        </w:rPr>
        <w:t xml:space="preserve"> i</w:t>
      </w:r>
      <w:r w:rsidR="00660512" w:rsidRPr="00660512">
        <w:rPr>
          <w:rFonts w:asciiTheme="majorHAnsi" w:hAnsiTheme="majorHAnsi" w:cs="Times"/>
          <w:bCs/>
          <w:szCs w:val="24"/>
        </w:rPr>
        <w:t xml:space="preserve">t </w:t>
      </w:r>
      <w:r w:rsidR="00660512">
        <w:rPr>
          <w:rFonts w:asciiTheme="majorHAnsi" w:hAnsiTheme="majorHAnsi" w:cs="Times"/>
          <w:bCs/>
          <w:szCs w:val="24"/>
        </w:rPr>
        <w:t>would be</w:t>
      </w:r>
      <w:r w:rsidR="00660512" w:rsidRPr="00660512">
        <w:rPr>
          <w:rFonts w:asciiTheme="majorHAnsi" w:hAnsiTheme="majorHAnsi" w:cs="Times"/>
          <w:bCs/>
          <w:szCs w:val="24"/>
        </w:rPr>
        <w:t xml:space="preserve"> preferable to make use of robust, malleable materials, e.g., polymer films, to improve the longevity and versatility of fluorescence standards</w:t>
      </w:r>
      <w:r w:rsidR="00660512">
        <w:rPr>
          <w:rFonts w:asciiTheme="majorHAnsi" w:hAnsiTheme="majorHAnsi" w:cs="Times"/>
          <w:bCs/>
          <w:szCs w:val="24"/>
        </w:rPr>
        <w:t xml:space="preserve">. </w:t>
      </w:r>
      <w:r w:rsidR="007265A0">
        <w:rPr>
          <w:rFonts w:asciiTheme="majorHAnsi" w:hAnsiTheme="majorHAnsi" w:cs="Times"/>
          <w:bCs/>
          <w:szCs w:val="24"/>
        </w:rPr>
        <w:t xml:space="preserve">This project will employ organic synthesis (in the </w:t>
      </w:r>
      <w:hyperlink r:id="rId5" w:history="1">
        <w:proofErr w:type="spellStart"/>
        <w:r w:rsidR="007265A0" w:rsidRPr="00B912BF">
          <w:rPr>
            <w:rStyle w:val="Hyperlink"/>
            <w:rFonts w:asciiTheme="majorHAnsi" w:hAnsiTheme="majorHAnsi" w:cs="Times"/>
            <w:bCs/>
            <w:szCs w:val="24"/>
          </w:rPr>
          <w:t>McGonigal</w:t>
        </w:r>
        <w:proofErr w:type="spellEnd"/>
        <w:r w:rsidR="007265A0" w:rsidRPr="00B912BF">
          <w:rPr>
            <w:rStyle w:val="Hyperlink"/>
            <w:rFonts w:asciiTheme="majorHAnsi" w:hAnsiTheme="majorHAnsi" w:cs="Times"/>
            <w:bCs/>
            <w:szCs w:val="24"/>
          </w:rPr>
          <w:t xml:space="preserve"> Group</w:t>
        </w:r>
      </w:hyperlink>
      <w:r w:rsidR="007265A0">
        <w:rPr>
          <w:rFonts w:asciiTheme="majorHAnsi" w:hAnsiTheme="majorHAnsi" w:cs="Times"/>
          <w:bCs/>
          <w:szCs w:val="24"/>
        </w:rPr>
        <w:t xml:space="preserve">) and </w:t>
      </w:r>
      <w:r w:rsidR="00612FA0">
        <w:rPr>
          <w:rFonts w:asciiTheme="majorHAnsi" w:hAnsiTheme="majorHAnsi" w:cs="Times"/>
          <w:bCs/>
          <w:szCs w:val="24"/>
        </w:rPr>
        <w:t xml:space="preserve">spectroscopic analysis (in the </w:t>
      </w:r>
      <w:hyperlink r:id="rId6" w:history="1">
        <w:proofErr w:type="spellStart"/>
        <w:r w:rsidR="00612FA0" w:rsidRPr="00352FBA">
          <w:rPr>
            <w:rStyle w:val="Hyperlink"/>
            <w:rFonts w:asciiTheme="majorHAnsi" w:hAnsiTheme="majorHAnsi" w:cs="Times"/>
            <w:bCs/>
            <w:szCs w:val="24"/>
          </w:rPr>
          <w:t>Monkman</w:t>
        </w:r>
        <w:proofErr w:type="spellEnd"/>
        <w:r w:rsidR="00612FA0" w:rsidRPr="00352FBA">
          <w:rPr>
            <w:rStyle w:val="Hyperlink"/>
            <w:rFonts w:asciiTheme="majorHAnsi" w:hAnsiTheme="majorHAnsi" w:cs="Times"/>
            <w:bCs/>
            <w:szCs w:val="24"/>
          </w:rPr>
          <w:t xml:space="preserve"> Group</w:t>
        </w:r>
      </w:hyperlink>
      <w:r w:rsidR="00612FA0">
        <w:rPr>
          <w:rFonts w:asciiTheme="majorHAnsi" w:hAnsiTheme="majorHAnsi" w:cs="Times"/>
          <w:bCs/>
          <w:szCs w:val="24"/>
        </w:rPr>
        <w:t xml:space="preserve">) to pioneer </w:t>
      </w:r>
      <w:r w:rsidR="000B65EB">
        <w:rPr>
          <w:rFonts w:asciiTheme="majorHAnsi" w:hAnsiTheme="majorHAnsi" w:cs="Times"/>
          <w:bCs/>
          <w:szCs w:val="24"/>
        </w:rPr>
        <w:t xml:space="preserve">new solid-state fluorescence standards, building on our work recently published in </w:t>
      </w:r>
      <w:hyperlink r:id="rId7" w:anchor="!divAbstract" w:history="1">
        <w:r w:rsidR="00B912BF" w:rsidRPr="00B912BF">
          <w:rPr>
            <w:rStyle w:val="Hyperlink"/>
            <w:rFonts w:asciiTheme="majorHAnsi" w:hAnsiTheme="majorHAnsi" w:cs="Times"/>
            <w:bCs/>
            <w:i/>
            <w:iCs/>
            <w:szCs w:val="24"/>
          </w:rPr>
          <w:t>Chem. Sci.</w:t>
        </w:r>
        <w:r w:rsidR="00B912BF" w:rsidRPr="00B912BF">
          <w:rPr>
            <w:rStyle w:val="Hyperlink"/>
            <w:rFonts w:asciiTheme="majorHAnsi" w:hAnsiTheme="majorHAnsi" w:cs="Times"/>
            <w:bCs/>
            <w:szCs w:val="24"/>
          </w:rPr>
          <w:t xml:space="preserve"> </w:t>
        </w:r>
        <w:r w:rsidR="00B912BF" w:rsidRPr="00B912BF">
          <w:rPr>
            <w:rStyle w:val="Hyperlink"/>
            <w:rFonts w:asciiTheme="majorHAnsi" w:hAnsiTheme="majorHAnsi" w:cs="Times"/>
            <w:b/>
            <w:bCs/>
            <w:szCs w:val="24"/>
          </w:rPr>
          <w:t>2020</w:t>
        </w:r>
        <w:r w:rsidR="00B912BF" w:rsidRPr="00B912BF">
          <w:rPr>
            <w:rStyle w:val="Hyperlink"/>
            <w:rFonts w:asciiTheme="majorHAnsi" w:hAnsiTheme="majorHAnsi" w:cs="Times"/>
            <w:bCs/>
            <w:szCs w:val="24"/>
          </w:rPr>
          <w:t>,</w:t>
        </w:r>
        <w:r w:rsidR="00B912BF" w:rsidRPr="00B912BF">
          <w:rPr>
            <w:rStyle w:val="Hyperlink"/>
            <w:rFonts w:asciiTheme="majorHAnsi" w:hAnsiTheme="majorHAnsi" w:cs="Times"/>
            <w:b/>
            <w:bCs/>
            <w:szCs w:val="24"/>
          </w:rPr>
          <w:t xml:space="preserve"> </w:t>
        </w:r>
        <w:r w:rsidR="00B912BF" w:rsidRPr="00B912BF">
          <w:rPr>
            <w:rStyle w:val="Hyperlink"/>
            <w:rFonts w:asciiTheme="majorHAnsi" w:hAnsiTheme="majorHAnsi" w:cs="Times"/>
            <w:bCs/>
            <w:i/>
            <w:iCs/>
            <w:szCs w:val="24"/>
          </w:rPr>
          <w:t>11</w:t>
        </w:r>
        <w:r w:rsidR="00B912BF" w:rsidRPr="00B912BF">
          <w:rPr>
            <w:rStyle w:val="Hyperlink"/>
            <w:rFonts w:asciiTheme="majorHAnsi" w:hAnsiTheme="majorHAnsi" w:cs="Times"/>
            <w:bCs/>
            <w:szCs w:val="24"/>
          </w:rPr>
          <w:t>, 6990–6995</w:t>
        </w:r>
      </w:hyperlink>
      <w:r w:rsidR="00352FBA">
        <w:rPr>
          <w:rFonts w:asciiTheme="majorHAnsi" w:hAnsiTheme="majorHAnsi" w:cs="Times"/>
          <w:bCs/>
          <w:szCs w:val="24"/>
        </w:rPr>
        <w:t xml:space="preserve"> (see cover image).</w:t>
      </w:r>
      <w:r w:rsidR="00F9017E">
        <w:rPr>
          <w:rFonts w:asciiTheme="majorHAnsi" w:hAnsiTheme="majorHAnsi" w:cs="Times"/>
          <w:bCs/>
          <w:szCs w:val="24"/>
        </w:rPr>
        <w:t xml:space="preserve"> The SOFI</w:t>
      </w:r>
      <w:r w:rsidR="00F9017E">
        <w:rPr>
          <w:rFonts w:asciiTheme="majorHAnsi" w:hAnsiTheme="majorHAnsi" w:cs="Times"/>
          <w:bCs/>
          <w:szCs w:val="24"/>
          <w:vertAlign w:val="superscript"/>
        </w:rPr>
        <w:t>2</w:t>
      </w:r>
      <w:r w:rsidR="00F9017E">
        <w:rPr>
          <w:rFonts w:asciiTheme="majorHAnsi" w:hAnsiTheme="majorHAnsi" w:cs="Times"/>
          <w:bCs/>
          <w:szCs w:val="24"/>
        </w:rPr>
        <w:t xml:space="preserve"> student will (i) synthesise </w:t>
      </w:r>
      <w:r w:rsidR="008E75A6">
        <w:rPr>
          <w:rFonts w:asciiTheme="majorHAnsi" w:hAnsiTheme="majorHAnsi" w:cs="Times"/>
          <w:bCs/>
          <w:szCs w:val="24"/>
        </w:rPr>
        <w:t>a series of fluorescent monomers, (ii) optimise conditions for their polymerisation and formulation, and (iii)</w:t>
      </w:r>
      <w:r w:rsidR="00AD0695">
        <w:rPr>
          <w:rFonts w:asciiTheme="majorHAnsi" w:hAnsiTheme="majorHAnsi" w:cs="Times"/>
          <w:bCs/>
          <w:szCs w:val="24"/>
        </w:rPr>
        <w:t> </w:t>
      </w:r>
      <w:r w:rsidR="008E75A6">
        <w:rPr>
          <w:rFonts w:asciiTheme="majorHAnsi" w:hAnsiTheme="majorHAnsi" w:cs="Times"/>
          <w:bCs/>
          <w:szCs w:val="24"/>
        </w:rPr>
        <w:t xml:space="preserve">measure their absorption and emission </w:t>
      </w:r>
      <w:r w:rsidR="007126EA">
        <w:rPr>
          <w:rFonts w:asciiTheme="majorHAnsi" w:hAnsiTheme="majorHAnsi" w:cs="Times"/>
          <w:bCs/>
          <w:szCs w:val="24"/>
        </w:rPr>
        <w:t>properties spectroscopically.</w:t>
      </w:r>
    </w:p>
    <w:p w14:paraId="704F902A" w14:textId="5579A834" w:rsidR="00352FBA" w:rsidRDefault="00352FBA">
      <w:pPr>
        <w:rPr>
          <w:rFonts w:asciiTheme="majorHAnsi" w:hAnsiTheme="majorHAnsi" w:cs="Times"/>
          <w:bCs/>
          <w:szCs w:val="24"/>
        </w:rPr>
      </w:pPr>
    </w:p>
    <w:p w14:paraId="70E90000" w14:textId="2C368E87" w:rsidR="00B659F0" w:rsidRDefault="00B912BF">
      <w:r>
        <w:rPr>
          <w:rFonts w:asciiTheme="majorHAnsi" w:hAnsiTheme="majorHAnsi" w:cs="Times"/>
          <w:bCs/>
          <w:szCs w:val="24"/>
        </w:rPr>
        <w:t xml:space="preserve"> </w:t>
      </w:r>
    </w:p>
    <w:sectPr w:rsidR="00B659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898"/>
    <w:rsid w:val="0005084D"/>
    <w:rsid w:val="000B65EB"/>
    <w:rsid w:val="000C5695"/>
    <w:rsid w:val="000F0F34"/>
    <w:rsid w:val="001D6E7E"/>
    <w:rsid w:val="0026221F"/>
    <w:rsid w:val="00352FBA"/>
    <w:rsid w:val="004E6898"/>
    <w:rsid w:val="00612FA0"/>
    <w:rsid w:val="00660512"/>
    <w:rsid w:val="00675AA3"/>
    <w:rsid w:val="007126EA"/>
    <w:rsid w:val="007265A0"/>
    <w:rsid w:val="008E75A6"/>
    <w:rsid w:val="00A227CD"/>
    <w:rsid w:val="00AA4556"/>
    <w:rsid w:val="00AD0695"/>
    <w:rsid w:val="00B659F0"/>
    <w:rsid w:val="00B912BF"/>
    <w:rsid w:val="00BE221D"/>
    <w:rsid w:val="00CB3B1D"/>
    <w:rsid w:val="00D85C8D"/>
    <w:rsid w:val="00E4616C"/>
    <w:rsid w:val="00F90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1845A"/>
  <w15:chartTrackingRefBased/>
  <w15:docId w15:val="{C87EA3C6-D5DA-4191-AEF9-6B5C5C68B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12B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912B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A4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A45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9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pubs.rsc.org/en/content/articlelanding/2020/sc/d0sc02460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oem-group.co.uk/andrew-monkman" TargetMode="External"/><Relationship Id="rId5" Type="http://schemas.openxmlformats.org/officeDocument/2006/relationships/hyperlink" Target="https://www.mcgonigalgroup.com/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McGonigal</dc:creator>
  <cp:keywords/>
  <dc:description/>
  <cp:lastModifiedBy>GRIEVE, LINDA</cp:lastModifiedBy>
  <cp:revision>3</cp:revision>
  <dcterms:created xsi:type="dcterms:W3CDTF">2020-09-14T10:58:00Z</dcterms:created>
  <dcterms:modified xsi:type="dcterms:W3CDTF">2020-09-14T11:00:00Z</dcterms:modified>
</cp:coreProperties>
</file>