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E0E2C" w14:textId="046F1DB3" w:rsidR="007704A9" w:rsidRPr="00590050" w:rsidRDefault="00590050" w:rsidP="001A6EB3">
      <w:pPr>
        <w:spacing w:line="276" w:lineRule="auto"/>
        <w:jc w:val="center"/>
        <w:rPr>
          <w:rFonts w:ascii="Arial" w:hAnsi="Arial" w:cs="Arial"/>
        </w:rPr>
      </w:pPr>
      <w:r w:rsidRPr="00590050">
        <w:rPr>
          <w:rFonts w:ascii="Arial" w:hAnsi="Arial" w:cs="Arial"/>
          <w:b/>
          <w:szCs w:val="24"/>
        </w:rPr>
        <w:t xml:space="preserve">N-Heterocyclic Carbene </w:t>
      </w:r>
      <w:proofErr w:type="spellStart"/>
      <w:r w:rsidRPr="00590050">
        <w:rPr>
          <w:rFonts w:ascii="Arial" w:hAnsi="Arial" w:cs="Arial"/>
          <w:b/>
          <w:szCs w:val="24"/>
        </w:rPr>
        <w:t>Organocatalysis</w:t>
      </w:r>
      <w:proofErr w:type="spellEnd"/>
      <w:r w:rsidRPr="00590050">
        <w:rPr>
          <w:rFonts w:ascii="Arial" w:hAnsi="Arial" w:cs="Arial"/>
          <w:b/>
          <w:szCs w:val="24"/>
        </w:rPr>
        <w:t xml:space="preserve"> in Sustainable Media</w:t>
      </w:r>
    </w:p>
    <w:p w14:paraId="7C3D6296" w14:textId="77777777" w:rsidR="00590050" w:rsidRDefault="00590050" w:rsidP="001A6EB3">
      <w:pPr>
        <w:spacing w:line="276" w:lineRule="auto"/>
        <w:ind w:left="720" w:hanging="720"/>
        <w:jc w:val="both"/>
        <w:rPr>
          <w:rFonts w:asciiTheme="minorBidi" w:hAnsiTheme="minorBidi" w:cstheme="minorBidi"/>
          <w:b/>
          <w:szCs w:val="24"/>
        </w:rPr>
      </w:pPr>
    </w:p>
    <w:p w14:paraId="4B62B07F" w14:textId="468FF12C" w:rsidR="007704A9" w:rsidRDefault="007704A9" w:rsidP="00CC1F5B">
      <w:pPr>
        <w:spacing w:line="276" w:lineRule="auto"/>
        <w:ind w:left="720" w:hanging="720"/>
        <w:jc w:val="both"/>
        <w:rPr>
          <w:rFonts w:asciiTheme="minorBidi" w:hAnsiTheme="minorBidi" w:cstheme="minorBidi"/>
          <w:szCs w:val="24"/>
        </w:rPr>
      </w:pPr>
      <w:r w:rsidRPr="00D362A2">
        <w:rPr>
          <w:rFonts w:asciiTheme="minorBidi" w:hAnsiTheme="minorBidi" w:cstheme="minorBidi"/>
          <w:b/>
          <w:szCs w:val="24"/>
        </w:rPr>
        <w:t xml:space="preserve">Supervisors: </w:t>
      </w:r>
      <w:r w:rsidR="00590050">
        <w:rPr>
          <w:rFonts w:asciiTheme="minorBidi" w:hAnsiTheme="minorBidi" w:cstheme="minorBidi"/>
          <w:bCs/>
          <w:szCs w:val="24"/>
        </w:rPr>
        <w:t xml:space="preserve">Prof. Sharon Cooper, Prof. Phil Dyer and Prof. AnnMarie </w:t>
      </w:r>
      <w:proofErr w:type="spellStart"/>
      <w:r w:rsidR="00590050">
        <w:rPr>
          <w:rFonts w:asciiTheme="minorBidi" w:hAnsiTheme="minorBidi" w:cstheme="minorBidi"/>
          <w:bCs/>
          <w:szCs w:val="24"/>
        </w:rPr>
        <w:t>O’Donoghue</w:t>
      </w:r>
      <w:proofErr w:type="spellEnd"/>
      <w:r w:rsidRPr="00D362A2">
        <w:rPr>
          <w:rFonts w:asciiTheme="minorBidi" w:hAnsiTheme="minorBidi" w:cstheme="minorBidi"/>
          <w:bCs/>
          <w:szCs w:val="24"/>
        </w:rPr>
        <w:t xml:space="preserve"> (</w:t>
      </w:r>
      <w:r w:rsidR="00590050">
        <w:rPr>
          <w:rFonts w:asciiTheme="minorBidi" w:hAnsiTheme="minorBidi" w:cstheme="minorBidi"/>
          <w:szCs w:val="24"/>
        </w:rPr>
        <w:t>Department of Chemistry</w:t>
      </w:r>
      <w:r w:rsidRPr="00D362A2">
        <w:rPr>
          <w:rFonts w:asciiTheme="minorBidi" w:hAnsiTheme="minorBidi" w:cstheme="minorBidi"/>
          <w:szCs w:val="24"/>
        </w:rPr>
        <w:t xml:space="preserve">, </w:t>
      </w:r>
      <w:r w:rsidR="00590050">
        <w:rPr>
          <w:rFonts w:asciiTheme="minorBidi" w:hAnsiTheme="minorBidi" w:cstheme="minorBidi"/>
          <w:szCs w:val="24"/>
        </w:rPr>
        <w:t xml:space="preserve">Durham </w:t>
      </w:r>
      <w:r w:rsidRPr="00D362A2">
        <w:rPr>
          <w:rFonts w:asciiTheme="minorBidi" w:hAnsiTheme="minorBidi" w:cstheme="minorBidi"/>
          <w:szCs w:val="24"/>
        </w:rPr>
        <w:t>University)</w:t>
      </w:r>
    </w:p>
    <w:p w14:paraId="1B240139" w14:textId="77777777" w:rsidR="002643E3" w:rsidRPr="00CC1F5B" w:rsidRDefault="002643E3" w:rsidP="00CC1F5B">
      <w:pPr>
        <w:spacing w:line="276" w:lineRule="auto"/>
        <w:ind w:left="720" w:hanging="720"/>
        <w:jc w:val="both"/>
        <w:rPr>
          <w:rFonts w:asciiTheme="minorBidi" w:hAnsiTheme="minorBidi" w:cstheme="minorBidi"/>
          <w:b/>
          <w:szCs w:val="24"/>
        </w:rPr>
      </w:pPr>
    </w:p>
    <w:p w14:paraId="4C6902ED" w14:textId="52691435" w:rsidR="00CC1F5B" w:rsidRPr="002643E3" w:rsidRDefault="00CC1F5B" w:rsidP="002643E3">
      <w:pPr>
        <w:jc w:val="both"/>
        <w:rPr>
          <w:rFonts w:ascii="Arial" w:hAnsi="Arial" w:cs="Arial"/>
          <w:bCs/>
          <w:szCs w:val="24"/>
        </w:rPr>
      </w:pPr>
      <w:proofErr w:type="spellStart"/>
      <w:r w:rsidRPr="002643E3">
        <w:rPr>
          <w:rFonts w:ascii="Arial" w:hAnsi="Arial" w:cs="Arial"/>
          <w:color w:val="000000" w:themeColor="text1"/>
        </w:rPr>
        <w:t>Organocatalysis</w:t>
      </w:r>
      <w:proofErr w:type="spellEnd"/>
      <w:r w:rsidRPr="002643E3">
        <w:rPr>
          <w:rFonts w:ascii="Arial" w:hAnsi="Arial" w:cs="Arial"/>
          <w:color w:val="000000" w:themeColor="text1"/>
        </w:rPr>
        <w:t xml:space="preserve">, the use of non-metal containing organic molecules as catalysts, has many benefits for sustainable chemistry: high atom economy, non-hazardous chemical syntheses, and energy efficiency. </w:t>
      </w:r>
      <w:r w:rsidR="002643E3" w:rsidRPr="002643E3">
        <w:rPr>
          <w:rFonts w:ascii="Arial" w:hAnsi="Arial" w:cs="Arial"/>
          <w:bCs/>
        </w:rPr>
        <w:t>A</w:t>
      </w:r>
      <w:r w:rsidR="002643E3" w:rsidRPr="002643E3">
        <w:rPr>
          <w:rFonts w:ascii="Arial" w:hAnsi="Arial" w:cs="Arial"/>
          <w:bCs/>
          <w:szCs w:val="24"/>
        </w:rPr>
        <w:t>s demonstrated by the award of the 2021 Nobel Prize in Chemistry in this area,</w:t>
      </w:r>
      <w:r w:rsidR="002643E3" w:rsidRPr="002643E3">
        <w:rPr>
          <w:rFonts w:ascii="Arial" w:hAnsi="Arial" w:cs="Arial"/>
          <w:bCs/>
        </w:rPr>
        <w:t xml:space="preserve"> </w:t>
      </w:r>
      <w:proofErr w:type="spellStart"/>
      <w:r w:rsidR="002643E3" w:rsidRPr="002643E3">
        <w:rPr>
          <w:rFonts w:ascii="Arial" w:hAnsi="Arial" w:cs="Arial"/>
          <w:bCs/>
        </w:rPr>
        <w:t>Organocatalysis</w:t>
      </w:r>
      <w:proofErr w:type="spellEnd"/>
      <w:r w:rsidR="002643E3" w:rsidRPr="002643E3">
        <w:rPr>
          <w:rFonts w:ascii="Arial" w:hAnsi="Arial" w:cs="Arial"/>
          <w:bCs/>
          <w:szCs w:val="24"/>
        </w:rPr>
        <w:t xml:space="preserve"> will play a key role towards ensuring a sustainable (bio)chemical future. </w:t>
      </w:r>
      <w:r w:rsidRPr="002643E3">
        <w:rPr>
          <w:rFonts w:ascii="Arial" w:hAnsi="Arial" w:cs="Arial"/>
          <w:color w:val="000000" w:themeColor="text1"/>
        </w:rPr>
        <w:t xml:space="preserve">However, there remains significant scope for improvement regarding solvent usage. The most employed solvents for </w:t>
      </w:r>
      <w:proofErr w:type="spellStart"/>
      <w:r w:rsidRPr="002643E3">
        <w:rPr>
          <w:rFonts w:ascii="Arial" w:hAnsi="Arial" w:cs="Arial"/>
          <w:color w:val="000000" w:themeColor="text1"/>
        </w:rPr>
        <w:t>organocatalysis</w:t>
      </w:r>
      <w:proofErr w:type="spellEnd"/>
      <w:r w:rsidRPr="002643E3">
        <w:rPr>
          <w:rFonts w:ascii="Arial" w:hAnsi="Arial" w:cs="Arial"/>
          <w:color w:val="000000" w:themeColor="text1"/>
        </w:rPr>
        <w:t xml:space="preserve"> include dichloromethane, THF and toluene with limited exploration of more sustainable options.</w:t>
      </w:r>
      <w:r w:rsidRPr="002643E3">
        <w:rPr>
          <w:rFonts w:ascii="Arial" w:hAnsi="Arial" w:cs="Arial"/>
          <w:color w:val="000000" w:themeColor="text1"/>
        </w:rPr>
        <w:t xml:space="preserve"> T</w:t>
      </w:r>
      <w:r w:rsidRPr="002643E3">
        <w:rPr>
          <w:rFonts w:ascii="Arial" w:hAnsi="Arial" w:cs="Arial"/>
          <w:color w:val="000000" w:themeColor="text1"/>
        </w:rPr>
        <w:t xml:space="preserve">he drive towards </w:t>
      </w:r>
      <w:proofErr w:type="spellStart"/>
      <w:r w:rsidRPr="002643E3">
        <w:rPr>
          <w:rFonts w:ascii="Arial" w:hAnsi="Arial" w:cs="Arial"/>
          <w:color w:val="000000" w:themeColor="text1"/>
        </w:rPr>
        <w:t>organocatalysis</w:t>
      </w:r>
      <w:proofErr w:type="spellEnd"/>
      <w:r w:rsidRPr="002643E3">
        <w:rPr>
          <w:rFonts w:ascii="Arial" w:hAnsi="Arial" w:cs="Arial"/>
          <w:color w:val="000000" w:themeColor="text1"/>
        </w:rPr>
        <w:t xml:space="preserve"> in alternative media is predominantly dictated by sustainability drivers, </w:t>
      </w:r>
      <w:r w:rsidRPr="002643E3">
        <w:rPr>
          <w:rFonts w:ascii="Arial" w:hAnsi="Arial" w:cs="Arial"/>
          <w:color w:val="000000" w:themeColor="text1"/>
        </w:rPr>
        <w:t xml:space="preserve">however, </w:t>
      </w:r>
      <w:r w:rsidRPr="002643E3">
        <w:rPr>
          <w:rFonts w:ascii="Arial" w:hAnsi="Arial" w:cs="Arial"/>
          <w:color w:val="000000" w:themeColor="text1"/>
        </w:rPr>
        <w:t>there are also opportunities for diversifying chemical scope via alternative chemo- and product selectivity</w:t>
      </w:r>
      <w:r w:rsidRPr="002643E3">
        <w:rPr>
          <w:rFonts w:ascii="Arial" w:hAnsi="Arial" w:cs="Arial"/>
        </w:rPr>
        <w:t>.</w:t>
      </w:r>
      <w:r w:rsidR="002643E3" w:rsidRPr="002643E3">
        <w:rPr>
          <w:rFonts w:ascii="Arial" w:hAnsi="Arial" w:cs="Arial"/>
        </w:rPr>
        <w:t xml:space="preserve"> </w:t>
      </w:r>
      <w:r w:rsidR="002643E3" w:rsidRPr="002643E3">
        <w:rPr>
          <w:rFonts w:ascii="Arial" w:hAnsi="Arial" w:cs="Arial"/>
          <w:bCs/>
          <w:szCs w:val="24"/>
        </w:rPr>
        <w:t>The broader benefits of a move towards catalysis in solvents with ‘greener’ credentials in life-cycle assessment, health and safety descriptors are clear.</w:t>
      </w:r>
    </w:p>
    <w:p w14:paraId="73A214A3" w14:textId="77777777" w:rsidR="00CC1F5B" w:rsidRPr="00CC1F5B" w:rsidRDefault="00CC1F5B" w:rsidP="00CC1F5B">
      <w:pPr>
        <w:pStyle w:val="NormalWeb"/>
        <w:spacing w:before="0" w:beforeAutospacing="0" w:after="0" w:afterAutospacing="0" w:line="120" w:lineRule="exact"/>
        <w:jc w:val="both"/>
        <w:rPr>
          <w:rFonts w:ascii="Arial" w:hAnsi="Arial" w:cs="Arial"/>
          <w:color w:val="000000" w:themeColor="text1"/>
        </w:rPr>
      </w:pPr>
    </w:p>
    <w:p w14:paraId="2419C936" w14:textId="5FA9B46E" w:rsidR="001A6EB3" w:rsidRPr="00CC1F5B" w:rsidRDefault="00CC1F5B" w:rsidP="00CC1F5B">
      <w:pPr>
        <w:spacing w:line="276" w:lineRule="auto"/>
        <w:jc w:val="both"/>
        <w:rPr>
          <w:rFonts w:ascii="Arial" w:hAnsi="Arial" w:cs="Arial"/>
          <w:bCs/>
          <w:szCs w:val="24"/>
        </w:rPr>
      </w:pPr>
      <w:r w:rsidRPr="00CC1F5B">
        <w:rPr>
          <w:rFonts w:ascii="Arial" w:hAnsi="Arial" w:cs="Arial"/>
          <w:color w:val="000000" w:themeColor="text1"/>
        </w:rPr>
        <w:t xml:space="preserve">N-Heterocyclic carbenes (NHCs) are one of the largest and most diverse class of </w:t>
      </w:r>
      <w:proofErr w:type="spellStart"/>
      <w:r w:rsidRPr="00CC1F5B">
        <w:rPr>
          <w:rFonts w:ascii="Arial" w:hAnsi="Arial" w:cs="Arial"/>
          <w:color w:val="000000" w:themeColor="text1"/>
        </w:rPr>
        <w:t>organocatalysts</w:t>
      </w:r>
      <w:proofErr w:type="spellEnd"/>
      <w:r w:rsidRPr="00CC1F5B">
        <w:rPr>
          <w:rFonts w:ascii="Arial" w:hAnsi="Arial" w:cs="Arial"/>
          <w:color w:val="000000" w:themeColor="text1"/>
        </w:rPr>
        <w:t>, providing access to unique chemical reactivity and complex molecular architectures. There are few examples of NHC catalysis in water, mostly limited to the archetypal benzoin condensation (</w:t>
      </w:r>
      <w:r w:rsidRPr="00CC1F5B">
        <w:rPr>
          <w:rFonts w:ascii="Arial" w:hAnsi="Arial" w:cs="Arial"/>
          <w:i/>
          <w:iCs/>
          <w:color w:val="000000" w:themeColor="text1"/>
        </w:rPr>
        <w:t>via</w:t>
      </w:r>
      <w:r w:rsidRPr="00CC1F5B">
        <w:rPr>
          <w:rFonts w:ascii="Arial" w:hAnsi="Arial" w:cs="Arial"/>
          <w:color w:val="000000" w:themeColor="text1"/>
        </w:rPr>
        <w:t xml:space="preserve"> d</w:t>
      </w:r>
      <w:r w:rsidRPr="00CC1F5B">
        <w:rPr>
          <w:rFonts w:ascii="Arial" w:hAnsi="Arial" w:cs="Arial"/>
          <w:color w:val="000000" w:themeColor="text1"/>
          <w:vertAlign w:val="subscript"/>
        </w:rPr>
        <w:t>1</w:t>
      </w:r>
      <w:r w:rsidRPr="00CC1F5B">
        <w:rPr>
          <w:rFonts w:ascii="Arial" w:hAnsi="Arial" w:cs="Arial"/>
          <w:color w:val="000000" w:themeColor="text1"/>
        </w:rPr>
        <w:t xml:space="preserve"> synthon generation). Problems include the poor aqueous solubility of NHC pre-catalysts, substrates, and minimal acid dissociation within the aqueous pH scale. In moving to new solvent systems, all aspects of chemical </w:t>
      </w:r>
      <w:proofErr w:type="spellStart"/>
      <w:r w:rsidRPr="00CC1F5B">
        <w:rPr>
          <w:rFonts w:ascii="Arial" w:hAnsi="Arial" w:cs="Arial"/>
          <w:color w:val="000000" w:themeColor="text1"/>
        </w:rPr>
        <w:t>organocatalysis</w:t>
      </w:r>
      <w:proofErr w:type="spellEnd"/>
      <w:r w:rsidRPr="00CC1F5B">
        <w:rPr>
          <w:rFonts w:ascii="Arial" w:hAnsi="Arial" w:cs="Arial"/>
          <w:color w:val="000000" w:themeColor="text1"/>
        </w:rPr>
        <w:t xml:space="preserve"> require re-investigation, including reaction rates, catalyst </w:t>
      </w:r>
      <w:proofErr w:type="spellStart"/>
      <w:r w:rsidRPr="00CC1F5B">
        <w:rPr>
          <w:rFonts w:ascii="Arial" w:hAnsi="Arial" w:cs="Arial"/>
          <w:color w:val="000000" w:themeColor="text1"/>
        </w:rPr>
        <w:t>p</w:t>
      </w:r>
      <w:r w:rsidRPr="00CC1F5B">
        <w:rPr>
          <w:rFonts w:ascii="Arial" w:hAnsi="Arial" w:cs="Arial"/>
          <w:i/>
          <w:iCs/>
          <w:color w:val="000000" w:themeColor="text1"/>
        </w:rPr>
        <w:t>K</w:t>
      </w:r>
      <w:r w:rsidRPr="00CC1F5B">
        <w:rPr>
          <w:rFonts w:ascii="Arial" w:hAnsi="Arial" w:cs="Arial"/>
          <w:color w:val="000000" w:themeColor="text1"/>
          <w:vertAlign w:val="subscript"/>
        </w:rPr>
        <w:t>a</w:t>
      </w:r>
      <w:r w:rsidRPr="00CC1F5B">
        <w:rPr>
          <w:rFonts w:ascii="Arial" w:hAnsi="Arial" w:cs="Arial"/>
          <w:color w:val="000000" w:themeColor="text1"/>
        </w:rPr>
        <w:t>s</w:t>
      </w:r>
      <w:proofErr w:type="spellEnd"/>
      <w:r w:rsidRPr="00CC1F5B">
        <w:rPr>
          <w:rFonts w:ascii="Arial" w:hAnsi="Arial" w:cs="Arial"/>
          <w:color w:val="000000" w:themeColor="text1"/>
        </w:rPr>
        <w:t xml:space="preserve">, mechanisms and substrate/product selectivity. </w:t>
      </w:r>
    </w:p>
    <w:p w14:paraId="0C48E4A0" w14:textId="77777777" w:rsidR="001A6EB3" w:rsidRDefault="001A6EB3" w:rsidP="002643E3">
      <w:pPr>
        <w:spacing w:line="120" w:lineRule="exact"/>
        <w:jc w:val="both"/>
        <w:rPr>
          <w:rFonts w:asciiTheme="minorBidi" w:hAnsiTheme="minorBidi" w:cstheme="minorBidi"/>
          <w:bCs/>
          <w:szCs w:val="24"/>
        </w:rPr>
      </w:pPr>
    </w:p>
    <w:p w14:paraId="637796F4" w14:textId="07BA9799" w:rsidR="00EB459D" w:rsidRPr="006A5061" w:rsidRDefault="00CC1F5B" w:rsidP="001A6EB3">
      <w:pPr>
        <w:spacing w:line="276" w:lineRule="auto"/>
        <w:jc w:val="both"/>
        <w:rPr>
          <w:rFonts w:ascii="Arial" w:hAnsi="Arial" w:cs="Arial"/>
          <w:bCs/>
          <w:szCs w:val="24"/>
        </w:rPr>
      </w:pPr>
      <w:r w:rsidRPr="006A5061">
        <w:rPr>
          <w:rFonts w:ascii="Arial" w:hAnsi="Arial" w:cs="Arial"/>
          <w:bCs/>
          <w:szCs w:val="24"/>
        </w:rPr>
        <w:t>In t</w:t>
      </w:r>
      <w:r w:rsidR="00EB459D" w:rsidRPr="006A5061">
        <w:rPr>
          <w:rFonts w:ascii="Arial" w:hAnsi="Arial" w:cs="Arial"/>
          <w:bCs/>
          <w:szCs w:val="24"/>
        </w:rPr>
        <w:t xml:space="preserve">his PhD project </w:t>
      </w:r>
      <w:r w:rsidRPr="006A5061">
        <w:rPr>
          <w:rFonts w:ascii="Arial" w:hAnsi="Arial" w:cs="Arial"/>
          <w:bCs/>
          <w:szCs w:val="24"/>
        </w:rPr>
        <w:t>you will</w:t>
      </w:r>
      <w:r w:rsidR="00EB459D" w:rsidRPr="006A5061">
        <w:rPr>
          <w:rFonts w:ascii="Arial" w:hAnsi="Arial" w:cs="Arial"/>
          <w:bCs/>
          <w:szCs w:val="24"/>
        </w:rPr>
        <w:t xml:space="preserve"> </w:t>
      </w:r>
      <w:r w:rsidRPr="006A5061">
        <w:rPr>
          <w:rFonts w:ascii="Arial" w:hAnsi="Arial" w:cs="Arial"/>
          <w:bCs/>
          <w:szCs w:val="24"/>
        </w:rPr>
        <w:t xml:space="preserve">explore the application of alternative solvents systems for NHC </w:t>
      </w:r>
      <w:proofErr w:type="spellStart"/>
      <w:r w:rsidRPr="006A5061">
        <w:rPr>
          <w:rFonts w:ascii="Arial" w:hAnsi="Arial" w:cs="Arial"/>
          <w:bCs/>
          <w:szCs w:val="24"/>
        </w:rPr>
        <w:t>organocatalysis</w:t>
      </w:r>
      <w:proofErr w:type="spellEnd"/>
      <w:r w:rsidR="007704A9" w:rsidRPr="006A5061">
        <w:rPr>
          <w:rFonts w:ascii="Arial" w:hAnsi="Arial" w:cs="Arial"/>
          <w:bCs/>
          <w:szCs w:val="24"/>
        </w:rPr>
        <w:t>.</w:t>
      </w:r>
      <w:r w:rsidR="006A5061" w:rsidRPr="006A5061">
        <w:rPr>
          <w:rFonts w:ascii="Arial" w:hAnsi="Arial" w:cs="Arial"/>
          <w:bCs/>
          <w:szCs w:val="24"/>
        </w:rPr>
        <w:t xml:space="preserve"> Specifically, we will investigate three solvent systems: 1) </w:t>
      </w:r>
      <w:r w:rsidR="006A5061" w:rsidRPr="006A5061">
        <w:rPr>
          <w:rFonts w:ascii="Arial" w:hAnsi="Arial" w:cs="Arial"/>
          <w:color w:val="000000" w:themeColor="text1"/>
        </w:rPr>
        <w:t>Structured Ternary Fluids (STFs)</w:t>
      </w:r>
      <w:r w:rsidR="006A5061" w:rsidRPr="006A5061">
        <w:rPr>
          <w:rFonts w:ascii="Arial" w:hAnsi="Arial" w:cs="Arial"/>
          <w:color w:val="000000" w:themeColor="text1"/>
        </w:rPr>
        <w:t xml:space="preserve">; 2) </w:t>
      </w:r>
      <w:r w:rsidR="006A5061" w:rsidRPr="006A5061">
        <w:rPr>
          <w:rFonts w:ascii="Arial" w:hAnsi="Arial" w:cs="Arial"/>
          <w:color w:val="000000" w:themeColor="text1"/>
        </w:rPr>
        <w:t>High Temperature Water (HTW)</w:t>
      </w:r>
      <w:r w:rsidR="006A5061" w:rsidRPr="006A5061">
        <w:rPr>
          <w:rFonts w:ascii="Arial" w:hAnsi="Arial" w:cs="Arial"/>
          <w:color w:val="000000" w:themeColor="text1"/>
        </w:rPr>
        <w:t xml:space="preserve"> and 3) </w:t>
      </w:r>
      <w:r w:rsidR="006A5061" w:rsidRPr="006A5061">
        <w:rPr>
          <w:rFonts w:ascii="Arial" w:hAnsi="Arial" w:cs="Arial"/>
          <w:color w:val="000000" w:themeColor="text1"/>
        </w:rPr>
        <w:t>Co-Solvents from Sustainable Origins</w:t>
      </w:r>
      <w:r w:rsidR="006A5061" w:rsidRPr="006A5061">
        <w:rPr>
          <w:rFonts w:ascii="Arial" w:hAnsi="Arial" w:cs="Arial"/>
          <w:color w:val="000000" w:themeColor="text1"/>
        </w:rPr>
        <w:t>.</w:t>
      </w:r>
      <w:r w:rsidR="006A5061" w:rsidRPr="006A5061">
        <w:rPr>
          <w:rFonts w:ascii="Arial" w:hAnsi="Arial" w:cs="Arial"/>
          <w:bCs/>
          <w:szCs w:val="24"/>
        </w:rPr>
        <w:t xml:space="preserve"> </w:t>
      </w:r>
      <w:r w:rsidRPr="006A5061">
        <w:rPr>
          <w:rFonts w:ascii="Arial" w:hAnsi="Arial" w:cs="Arial"/>
          <w:bCs/>
          <w:szCs w:val="24"/>
        </w:rPr>
        <w:t xml:space="preserve"> </w:t>
      </w:r>
      <w:r w:rsidR="006A5061" w:rsidRPr="006A5061">
        <w:rPr>
          <w:rFonts w:ascii="Arial" w:hAnsi="Arial" w:cs="Arial"/>
        </w:rPr>
        <w:t>In all cases a range of NHC-</w:t>
      </w:r>
      <w:proofErr w:type="spellStart"/>
      <w:r w:rsidR="006A5061" w:rsidRPr="006A5061">
        <w:rPr>
          <w:rFonts w:ascii="Arial" w:hAnsi="Arial" w:cs="Arial"/>
        </w:rPr>
        <w:t>catalysed</w:t>
      </w:r>
      <w:proofErr w:type="spellEnd"/>
      <w:r w:rsidR="006A5061" w:rsidRPr="006A5061">
        <w:rPr>
          <w:rFonts w:ascii="Arial" w:hAnsi="Arial" w:cs="Arial"/>
        </w:rPr>
        <w:t xml:space="preserve"> synthetic </w:t>
      </w:r>
      <w:r w:rsidR="006A5061" w:rsidRPr="006A5061">
        <w:rPr>
          <w:rFonts w:ascii="Arial" w:hAnsi="Arial" w:cs="Arial"/>
        </w:rPr>
        <w:t>transformations will be explored including challenging C-C bond forming reactions. We will initially explore the benzoin condensation (well-established NHC d</w:t>
      </w:r>
      <w:r w:rsidR="006A5061" w:rsidRPr="006A5061">
        <w:rPr>
          <w:rFonts w:ascii="Arial" w:hAnsi="Arial" w:cs="Arial"/>
          <w:vertAlign w:val="subscript"/>
        </w:rPr>
        <w:t>1</w:t>
      </w:r>
      <w:r w:rsidR="006A5061" w:rsidRPr="006A5061">
        <w:rPr>
          <w:rFonts w:ascii="Arial" w:hAnsi="Arial" w:cs="Arial"/>
        </w:rPr>
        <w:t xml:space="preserve">-synthon chemistry) before moving to more diverse transformations including NHC </w:t>
      </w:r>
      <w:proofErr w:type="spellStart"/>
      <w:r w:rsidR="006A5061" w:rsidRPr="006A5061">
        <w:rPr>
          <w:rFonts w:ascii="Arial" w:hAnsi="Arial" w:cs="Arial"/>
        </w:rPr>
        <w:t>homoenolate-catalysed</w:t>
      </w:r>
      <w:proofErr w:type="spellEnd"/>
      <w:r w:rsidR="006A5061" w:rsidRPr="006A5061">
        <w:rPr>
          <w:rFonts w:ascii="Arial" w:hAnsi="Arial" w:cs="Arial"/>
        </w:rPr>
        <w:t xml:space="preserve"> annulations to heterocyclic products, aldehyde C-H </w:t>
      </w:r>
      <w:proofErr w:type="spellStart"/>
      <w:r w:rsidR="006A5061" w:rsidRPr="006A5061">
        <w:rPr>
          <w:rFonts w:ascii="Arial" w:hAnsi="Arial" w:cs="Arial"/>
        </w:rPr>
        <w:t>arylation</w:t>
      </w:r>
      <w:proofErr w:type="spellEnd"/>
      <w:r w:rsidR="006A5061" w:rsidRPr="006A5061">
        <w:rPr>
          <w:rFonts w:ascii="Arial" w:hAnsi="Arial" w:cs="Arial"/>
        </w:rPr>
        <w:t xml:space="preserve"> and hydroacylation of </w:t>
      </w:r>
      <w:proofErr w:type="spellStart"/>
      <w:r w:rsidR="006A5061" w:rsidRPr="006A5061">
        <w:rPr>
          <w:rFonts w:ascii="Arial" w:hAnsi="Arial" w:cs="Arial"/>
        </w:rPr>
        <w:t>unactivated</w:t>
      </w:r>
      <w:proofErr w:type="spellEnd"/>
      <w:r w:rsidR="006A5061" w:rsidRPr="006A5061">
        <w:rPr>
          <w:rFonts w:ascii="Arial" w:hAnsi="Arial" w:cs="Arial"/>
        </w:rPr>
        <w:t xml:space="preserve"> alkenes.</w:t>
      </w:r>
      <w:r w:rsidR="006A5061">
        <w:rPr>
          <w:rFonts w:ascii="Arial" w:hAnsi="Arial" w:cs="Arial"/>
        </w:rPr>
        <w:t xml:space="preserve"> This project will suit an applicant with interests in synthetic chemistry and mechanism evaluation.</w:t>
      </w:r>
    </w:p>
    <w:p w14:paraId="7DE6FDC1" w14:textId="77777777" w:rsidR="001A6EB3" w:rsidRPr="00D362A2" w:rsidRDefault="001A6EB3" w:rsidP="002643E3">
      <w:pPr>
        <w:spacing w:line="120" w:lineRule="exact"/>
        <w:jc w:val="both"/>
        <w:rPr>
          <w:rFonts w:asciiTheme="minorBidi" w:hAnsiTheme="minorBidi" w:cstheme="minorBidi"/>
          <w:bCs/>
          <w:szCs w:val="24"/>
        </w:rPr>
      </w:pPr>
    </w:p>
    <w:p w14:paraId="2FC3AFC3" w14:textId="24952C5B" w:rsidR="006A5061" w:rsidRPr="006A5061" w:rsidRDefault="006A5061" w:rsidP="006A5061">
      <w:pPr>
        <w:jc w:val="both"/>
        <w:rPr>
          <w:rFonts w:ascii="Arial" w:hAnsi="Arial" w:cs="Arial"/>
          <w:bCs/>
          <w:szCs w:val="24"/>
        </w:rPr>
      </w:pPr>
      <w:r w:rsidRPr="006A5061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 interdisciplinary</w:t>
      </w:r>
      <w:r w:rsidRPr="006A5061">
        <w:rPr>
          <w:rFonts w:ascii="Arial" w:hAnsi="Arial" w:cs="Arial"/>
          <w:bCs/>
          <w:szCs w:val="24"/>
        </w:rPr>
        <w:t xml:space="preserve"> project will involve training in the following areas:</w:t>
      </w:r>
    </w:p>
    <w:p w14:paraId="013AAB14" w14:textId="43029075" w:rsidR="006A5061" w:rsidRPr="006A5061" w:rsidRDefault="006A5061" w:rsidP="006A506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6A5061">
        <w:rPr>
          <w:rFonts w:ascii="Arial" w:hAnsi="Arial" w:cs="Arial"/>
          <w:bCs/>
          <w:sz w:val="24"/>
          <w:szCs w:val="24"/>
        </w:rPr>
        <w:t>ynthesis of NHC pre-catalysts and substrates (</w:t>
      </w:r>
      <w:proofErr w:type="spellStart"/>
      <w:r w:rsidRPr="006A5061">
        <w:rPr>
          <w:rFonts w:ascii="Arial" w:hAnsi="Arial" w:cs="Arial"/>
          <w:bCs/>
          <w:sz w:val="24"/>
          <w:szCs w:val="24"/>
        </w:rPr>
        <w:t>O’Donoghue</w:t>
      </w:r>
      <w:proofErr w:type="spellEnd"/>
      <w:r w:rsidRPr="006A5061">
        <w:rPr>
          <w:rFonts w:ascii="Arial" w:hAnsi="Arial" w:cs="Arial"/>
          <w:bCs/>
          <w:sz w:val="24"/>
          <w:szCs w:val="24"/>
        </w:rPr>
        <w:t>)</w:t>
      </w:r>
    </w:p>
    <w:p w14:paraId="42C1CC92" w14:textId="77777777" w:rsidR="006A5061" w:rsidRPr="006A5061" w:rsidRDefault="006A5061" w:rsidP="006A506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6A5061">
        <w:rPr>
          <w:rFonts w:ascii="Arial" w:hAnsi="Arial" w:cs="Arial"/>
          <w:bCs/>
          <w:sz w:val="24"/>
          <w:szCs w:val="24"/>
        </w:rPr>
        <w:t>Preparation and physicochemical evaluation of STFs (Cooper)</w:t>
      </w:r>
    </w:p>
    <w:p w14:paraId="1FD1E09F" w14:textId="77777777" w:rsidR="006A5061" w:rsidRPr="006A5061" w:rsidRDefault="006A5061" w:rsidP="006A506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6A5061">
        <w:rPr>
          <w:rFonts w:ascii="Arial" w:hAnsi="Arial" w:cs="Arial"/>
          <w:bCs/>
          <w:sz w:val="24"/>
          <w:szCs w:val="24"/>
        </w:rPr>
        <w:t xml:space="preserve">Generation and safe manipulation of </w:t>
      </w:r>
      <w:r w:rsidRPr="006A5061">
        <w:rPr>
          <w:rFonts w:ascii="Arial" w:hAnsi="Arial" w:cs="Arial"/>
          <w:sz w:val="24"/>
          <w:szCs w:val="24"/>
        </w:rPr>
        <w:t>HTW and DES (Dyer)</w:t>
      </w:r>
    </w:p>
    <w:p w14:paraId="51A30210" w14:textId="6331128B" w:rsidR="006A5061" w:rsidRPr="006A5061" w:rsidRDefault="006A5061" w:rsidP="006A506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6A5061">
        <w:rPr>
          <w:rFonts w:ascii="Arial" w:hAnsi="Arial" w:cs="Arial"/>
          <w:sz w:val="24"/>
          <w:szCs w:val="24"/>
        </w:rPr>
        <w:t xml:space="preserve">Data evaluation, kinetic evaluation, </w:t>
      </w:r>
      <w:proofErr w:type="spellStart"/>
      <w:r w:rsidRPr="006A5061">
        <w:rPr>
          <w:rFonts w:ascii="Arial" w:hAnsi="Arial" w:cs="Arial"/>
          <w:sz w:val="24"/>
          <w:szCs w:val="24"/>
        </w:rPr>
        <w:t>p</w:t>
      </w:r>
      <w:r w:rsidRPr="006A5061">
        <w:rPr>
          <w:rFonts w:ascii="Arial" w:hAnsi="Arial" w:cs="Arial"/>
          <w:i/>
          <w:iCs/>
          <w:sz w:val="24"/>
          <w:szCs w:val="24"/>
        </w:rPr>
        <w:t>K</w:t>
      </w:r>
      <w:r w:rsidRPr="006A5061"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  <w:r w:rsidRPr="006A5061">
        <w:rPr>
          <w:rFonts w:ascii="Arial" w:hAnsi="Arial" w:cs="Arial"/>
          <w:sz w:val="24"/>
          <w:szCs w:val="24"/>
        </w:rPr>
        <w:t xml:space="preserve"> determination (</w:t>
      </w:r>
      <w:proofErr w:type="spellStart"/>
      <w:r w:rsidRPr="006A5061">
        <w:rPr>
          <w:rFonts w:ascii="Arial" w:hAnsi="Arial" w:cs="Arial"/>
          <w:sz w:val="24"/>
          <w:szCs w:val="24"/>
        </w:rPr>
        <w:t>O’Donoghue</w:t>
      </w:r>
      <w:proofErr w:type="spellEnd"/>
      <w:r w:rsidRPr="006A5061">
        <w:rPr>
          <w:rFonts w:ascii="Arial" w:hAnsi="Arial" w:cs="Arial"/>
          <w:sz w:val="24"/>
          <w:szCs w:val="24"/>
        </w:rPr>
        <w:t>)</w:t>
      </w:r>
    </w:p>
    <w:p w14:paraId="5AA65D8C" w14:textId="270ED5C7" w:rsidR="00BF6E32" w:rsidRPr="00FB3412" w:rsidRDefault="006A5061" w:rsidP="00FB3412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6A5061">
        <w:rPr>
          <w:rFonts w:ascii="Arial" w:hAnsi="Arial" w:cs="Arial"/>
          <w:sz w:val="24"/>
          <w:szCs w:val="24"/>
        </w:rPr>
        <w:t>Reaction monitoring using multinuclear NMR and mass spectrometric analysis (</w:t>
      </w:r>
      <w:proofErr w:type="spellStart"/>
      <w:r w:rsidRPr="006A5061">
        <w:rPr>
          <w:rFonts w:ascii="Arial" w:hAnsi="Arial" w:cs="Arial"/>
          <w:sz w:val="24"/>
          <w:szCs w:val="24"/>
        </w:rPr>
        <w:t>O’Donoghue</w:t>
      </w:r>
      <w:proofErr w:type="spellEnd"/>
      <w:r w:rsidRPr="006A5061">
        <w:rPr>
          <w:rFonts w:ascii="Arial" w:hAnsi="Arial" w:cs="Arial"/>
          <w:sz w:val="24"/>
          <w:szCs w:val="24"/>
        </w:rPr>
        <w:t>, Dyer).</w:t>
      </w:r>
    </w:p>
    <w:p w14:paraId="5D3D58B1" w14:textId="77777777" w:rsidR="007704A9" w:rsidRPr="00D362A2" w:rsidRDefault="007704A9" w:rsidP="001A6EB3">
      <w:pPr>
        <w:spacing w:line="276" w:lineRule="auto"/>
        <w:rPr>
          <w:rFonts w:asciiTheme="minorBidi" w:hAnsiTheme="minorBidi" w:cstheme="minorBidi"/>
        </w:rPr>
      </w:pPr>
    </w:p>
    <w:p w14:paraId="15805CB7" w14:textId="7F2C0C28" w:rsidR="00EB459D" w:rsidRPr="00D362A2" w:rsidRDefault="00EB459D" w:rsidP="001A6EB3">
      <w:pPr>
        <w:spacing w:line="276" w:lineRule="auto"/>
        <w:rPr>
          <w:rFonts w:asciiTheme="minorBidi" w:hAnsiTheme="minorBidi" w:cstheme="minorBidi"/>
        </w:rPr>
      </w:pPr>
      <w:r w:rsidRPr="00D362A2">
        <w:rPr>
          <w:rFonts w:asciiTheme="minorBidi" w:hAnsiTheme="minorBidi" w:cstheme="minorBidi"/>
          <w:b/>
          <w:bCs/>
        </w:rPr>
        <w:t>Keywords</w:t>
      </w:r>
      <w:r w:rsidRPr="00D362A2">
        <w:rPr>
          <w:rFonts w:asciiTheme="minorBidi" w:hAnsiTheme="minorBidi" w:cstheme="minorBidi"/>
        </w:rPr>
        <w:t xml:space="preserve">: </w:t>
      </w:r>
      <w:proofErr w:type="spellStart"/>
      <w:r w:rsidR="006A5061">
        <w:rPr>
          <w:rFonts w:asciiTheme="minorBidi" w:hAnsiTheme="minorBidi" w:cstheme="minorBidi"/>
        </w:rPr>
        <w:t>organocatalysis</w:t>
      </w:r>
      <w:proofErr w:type="spellEnd"/>
      <w:r w:rsidR="006A5061">
        <w:rPr>
          <w:rFonts w:asciiTheme="minorBidi" w:hAnsiTheme="minorBidi" w:cstheme="minorBidi"/>
        </w:rPr>
        <w:t xml:space="preserve">, sustainable </w:t>
      </w:r>
      <w:r w:rsidR="00BE2F02">
        <w:rPr>
          <w:rFonts w:asciiTheme="minorBidi" w:hAnsiTheme="minorBidi" w:cstheme="minorBidi"/>
        </w:rPr>
        <w:t xml:space="preserve">chemistry, </w:t>
      </w:r>
      <w:r w:rsidR="006A5061">
        <w:rPr>
          <w:rFonts w:asciiTheme="minorBidi" w:hAnsiTheme="minorBidi" w:cstheme="minorBidi"/>
        </w:rPr>
        <w:t>N-heterocyclic carbene, structure</w:t>
      </w:r>
      <w:r w:rsidR="00FB3412">
        <w:rPr>
          <w:rFonts w:asciiTheme="minorBidi" w:hAnsiTheme="minorBidi" w:cstheme="minorBidi"/>
        </w:rPr>
        <w:t>d</w:t>
      </w:r>
      <w:bookmarkStart w:id="0" w:name="_GoBack"/>
      <w:bookmarkEnd w:id="0"/>
      <w:r w:rsidR="006A5061">
        <w:rPr>
          <w:rFonts w:asciiTheme="minorBidi" w:hAnsiTheme="minorBidi" w:cstheme="minorBidi"/>
        </w:rPr>
        <w:t xml:space="preserve"> ternary fluid, high temperature water</w:t>
      </w:r>
      <w:r w:rsidR="002643E3">
        <w:rPr>
          <w:rFonts w:asciiTheme="minorBidi" w:hAnsiTheme="minorBidi" w:cstheme="minorBidi"/>
        </w:rPr>
        <w:t>, mechanism</w:t>
      </w:r>
    </w:p>
    <w:p w14:paraId="787186DC" w14:textId="77777777" w:rsidR="00EB459D" w:rsidRPr="00D362A2" w:rsidRDefault="00EB459D" w:rsidP="001A6EB3">
      <w:pPr>
        <w:spacing w:line="276" w:lineRule="auto"/>
        <w:rPr>
          <w:rFonts w:asciiTheme="minorBidi" w:hAnsiTheme="minorBidi" w:cstheme="minorBidi"/>
        </w:rPr>
      </w:pPr>
    </w:p>
    <w:sectPr w:rsidR="00EB459D" w:rsidRPr="00D36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0E9"/>
    <w:multiLevelType w:val="hybridMultilevel"/>
    <w:tmpl w:val="339A2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1NjUxNTMyszQzMzBQ0lEKTi0uzszPAykwqgUAjhHJwywAAAA="/>
  </w:docVars>
  <w:rsids>
    <w:rsidRoot w:val="007704A9"/>
    <w:rsid w:val="001A6EB3"/>
    <w:rsid w:val="002643E3"/>
    <w:rsid w:val="00325700"/>
    <w:rsid w:val="00590050"/>
    <w:rsid w:val="00616DDE"/>
    <w:rsid w:val="006A5061"/>
    <w:rsid w:val="007704A9"/>
    <w:rsid w:val="007F1C9C"/>
    <w:rsid w:val="008C2B7D"/>
    <w:rsid w:val="00BE2F02"/>
    <w:rsid w:val="00BF6E32"/>
    <w:rsid w:val="00CC1F5B"/>
    <w:rsid w:val="00D362A2"/>
    <w:rsid w:val="00EB459D"/>
    <w:rsid w:val="00FB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30D3"/>
  <w15:chartTrackingRefBased/>
  <w15:docId w15:val="{594D4DED-8AB8-493F-90B3-ED7ED923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4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A6E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CC1F5B"/>
    <w:pPr>
      <w:spacing w:before="100" w:beforeAutospacing="1" w:after="100" w:afterAutospacing="1"/>
    </w:pPr>
    <w:rPr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A5061"/>
    <w:pPr>
      <w:spacing w:before="60" w:line="220" w:lineRule="exact"/>
      <w:ind w:left="720"/>
      <w:contextualSpacing/>
      <w:jc w:val="both"/>
    </w:pPr>
    <w:rPr>
      <w:rFonts w:asciiTheme="minorHAnsi" w:eastAsiaTheme="minorHAnsi" w:hAnsiTheme="minorHAnsi" w:cs="Tahoma"/>
      <w:sz w:val="22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A5061"/>
    <w:rPr>
      <w:rFonts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Sadeghpour Dilmaghani</dc:creator>
  <cp:keywords/>
  <dc:description/>
  <cp:lastModifiedBy>O'DONOGHUE, ANNMARIE C.</cp:lastModifiedBy>
  <cp:revision>3</cp:revision>
  <dcterms:created xsi:type="dcterms:W3CDTF">2023-09-26T08:37:00Z</dcterms:created>
  <dcterms:modified xsi:type="dcterms:W3CDTF">2023-09-26T09:21:00Z</dcterms:modified>
</cp:coreProperties>
</file>