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4CAF" w14:textId="516E114A" w:rsidR="00854218" w:rsidRPr="00E601CC" w:rsidRDefault="00146DB4" w:rsidP="003B0FA8">
      <w:pPr>
        <w:spacing w:after="120"/>
        <w:jc w:val="both"/>
        <w:rPr>
          <w:rFonts w:ascii="Arial" w:hAnsi="Arial" w:cs="Arial"/>
        </w:rPr>
      </w:pPr>
      <w:r w:rsidRPr="00E601CC">
        <w:rPr>
          <w:rFonts w:ascii="Arial" w:hAnsi="Arial" w:cs="Arial"/>
          <w:b/>
          <w:szCs w:val="24"/>
        </w:rPr>
        <w:t>Rational Design of Antimicrobials from Self-Assembling Peptoids</w:t>
      </w:r>
    </w:p>
    <w:p w14:paraId="7B5245B9" w14:textId="1E51AA4A" w:rsidR="00E601CC" w:rsidRPr="003B0FA8" w:rsidRDefault="00E601CC" w:rsidP="003B0FA8">
      <w:pPr>
        <w:spacing w:after="120"/>
        <w:jc w:val="both"/>
        <w:rPr>
          <w:rFonts w:ascii="Arial" w:hAnsi="Arial" w:cs="Arial"/>
        </w:rPr>
      </w:pPr>
      <w:r w:rsidRPr="00E601CC">
        <w:rPr>
          <w:rFonts w:ascii="Arial" w:hAnsi="Arial" w:cs="Arial"/>
        </w:rPr>
        <w:t>Dr. Anders Aufderhorst-Roberts, Prof. Steven Cobb</w:t>
      </w:r>
    </w:p>
    <w:p w14:paraId="14C22225" w14:textId="67878736" w:rsidR="003449E4" w:rsidRPr="00B5052F" w:rsidRDefault="00B5052F" w:rsidP="003B0FA8">
      <w:pPr>
        <w:spacing w:after="120"/>
        <w:jc w:val="both"/>
        <w:rPr>
          <w:rFonts w:ascii="Arial" w:hAnsi="Arial" w:cs="Arial"/>
          <w:bCs/>
        </w:rPr>
      </w:pPr>
      <w:r w:rsidRPr="00B5052F">
        <w:rPr>
          <w:rFonts w:ascii="Arial" w:hAnsi="Arial" w:cs="Arial"/>
          <w:bCs/>
        </w:rPr>
        <w:t xml:space="preserve">Antibiotic resistance poses an imminent threat to global health, necessitating the development of innovative approaches to combat microbial infections. This exciting </w:t>
      </w:r>
      <w:r>
        <w:rPr>
          <w:rFonts w:ascii="Arial" w:hAnsi="Arial" w:cs="Arial"/>
          <w:bCs/>
        </w:rPr>
        <w:t xml:space="preserve">project </w:t>
      </w:r>
      <w:r w:rsidRPr="00B5052F">
        <w:rPr>
          <w:rFonts w:ascii="Arial" w:hAnsi="Arial" w:cs="Arial"/>
          <w:bCs/>
        </w:rPr>
        <w:t>focuses on harnessing the power of short peptide molecules with established antimicrobial propertie</w:t>
      </w:r>
      <w:r w:rsidR="003449E4">
        <w:rPr>
          <w:rFonts w:ascii="Arial" w:hAnsi="Arial" w:cs="Arial"/>
          <w:bCs/>
        </w:rPr>
        <w:t>s</w:t>
      </w:r>
      <w:r w:rsidRPr="00B5052F">
        <w:rPr>
          <w:rFonts w:ascii="Arial" w:hAnsi="Arial" w:cs="Arial"/>
          <w:bCs/>
        </w:rPr>
        <w:t xml:space="preserve">. Recent </w:t>
      </w:r>
      <w:r w:rsidR="003449E4">
        <w:rPr>
          <w:rFonts w:ascii="Arial" w:hAnsi="Arial" w:cs="Arial"/>
          <w:bCs/>
        </w:rPr>
        <w:t>advances</w:t>
      </w:r>
      <w:r w:rsidRPr="00B5052F">
        <w:rPr>
          <w:rFonts w:ascii="Arial" w:hAnsi="Arial" w:cs="Arial"/>
          <w:bCs/>
        </w:rPr>
        <w:t xml:space="preserve"> have revealed the remarkable antimicrobial activity of self-assembled supramolecular structures formed by simple two-to-three amino acid sequences. </w:t>
      </w:r>
      <w:r w:rsidR="003449E4">
        <w:rPr>
          <w:rFonts w:ascii="Arial" w:hAnsi="Arial" w:cs="Arial"/>
          <w:bCs/>
        </w:rPr>
        <w:t xml:space="preserve">This </w:t>
      </w:r>
      <w:r w:rsidRPr="00B5052F">
        <w:rPr>
          <w:rFonts w:ascii="Arial" w:hAnsi="Arial" w:cs="Arial"/>
          <w:bCs/>
        </w:rPr>
        <w:t xml:space="preserve">project aims to design </w:t>
      </w:r>
      <w:r w:rsidR="009F655F">
        <w:rPr>
          <w:rFonts w:ascii="Arial" w:hAnsi="Arial" w:cs="Arial"/>
          <w:bCs/>
        </w:rPr>
        <w:t>an</w:t>
      </w:r>
      <w:r w:rsidRPr="00B5052F">
        <w:rPr>
          <w:rFonts w:ascii="Arial" w:hAnsi="Arial" w:cs="Arial"/>
          <w:bCs/>
        </w:rPr>
        <w:t xml:space="preserve"> antimicrobial system capable of toggling between active and inactive states through macromolecular assembly and disassembly.</w:t>
      </w:r>
      <w:r w:rsidR="003449E4">
        <w:rPr>
          <w:noProof/>
        </w:rPr>
        <mc:AlternateContent>
          <mc:Choice Requires="wps">
            <w:drawing>
              <wp:anchor distT="0" distB="0" distL="114300" distR="114300" simplePos="0" relativeHeight="251659264" behindDoc="0" locked="0" layoutInCell="1" allowOverlap="1" wp14:anchorId="3339E63B" wp14:editId="558D3347">
                <wp:simplePos x="0" y="0"/>
                <wp:positionH relativeFrom="column">
                  <wp:posOffset>2085473</wp:posOffset>
                </wp:positionH>
                <wp:positionV relativeFrom="paragraph">
                  <wp:posOffset>137394</wp:posOffset>
                </wp:positionV>
                <wp:extent cx="3486785" cy="2882265"/>
                <wp:effectExtent l="0" t="0" r="5715" b="635"/>
                <wp:wrapSquare wrapText="bothSides"/>
                <wp:docPr id="2" name="Text Box 2"/>
                <wp:cNvGraphicFramePr/>
                <a:graphic xmlns:a="http://schemas.openxmlformats.org/drawingml/2006/main">
                  <a:graphicData uri="http://schemas.microsoft.com/office/word/2010/wordprocessingShape">
                    <wps:wsp>
                      <wps:cNvSpPr txBox="1"/>
                      <wps:spPr>
                        <a:xfrm>
                          <a:off x="0" y="0"/>
                          <a:ext cx="3486785" cy="2882265"/>
                        </a:xfrm>
                        <a:prstGeom prst="rect">
                          <a:avLst/>
                        </a:prstGeom>
                        <a:solidFill>
                          <a:schemeClr val="lt1"/>
                        </a:solidFill>
                        <a:ln w="6350">
                          <a:noFill/>
                        </a:ln>
                      </wps:spPr>
                      <wps:txbx>
                        <w:txbxContent>
                          <w:p w14:paraId="3BDF1A69" w14:textId="77777777" w:rsidR="003449E4" w:rsidRPr="0068426F" w:rsidRDefault="003449E4" w:rsidP="0068426F">
                            <w:pPr>
                              <w:jc w:val="center"/>
                              <w:rPr>
                                <w:rFonts w:ascii="Arial" w:hAnsi="Arial" w:cs="Arial"/>
                                <w:b/>
                                <w:bCs/>
                                <w:i/>
                                <w:iCs/>
                                <w:sz w:val="22"/>
                                <w:szCs w:val="22"/>
                                <w:lang w:val="en-GB"/>
                              </w:rPr>
                            </w:pPr>
                            <w:r w:rsidRPr="0068426F">
                              <w:rPr>
                                <w:i/>
                                <w:iCs/>
                                <w:noProof/>
                              </w:rPr>
                              <w:drawing>
                                <wp:inline distT="0" distB="0" distL="0" distR="0" wp14:anchorId="4F7232D7" wp14:editId="6B154DA0">
                                  <wp:extent cx="3110947" cy="1785160"/>
                                  <wp:effectExtent l="0" t="0" r="0" b="5715"/>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8885" cy="1801192"/>
                                          </a:xfrm>
                                          <a:prstGeom prst="rect">
                                            <a:avLst/>
                                          </a:prstGeom>
                                        </pic:spPr>
                                      </pic:pic>
                                    </a:graphicData>
                                  </a:graphic>
                                </wp:inline>
                              </w:drawing>
                            </w:r>
                          </w:p>
                          <w:p w14:paraId="7904FD31" w14:textId="7A34AFFB" w:rsidR="003449E4" w:rsidRPr="0068426F" w:rsidRDefault="003449E4" w:rsidP="0068426F">
                            <w:pPr>
                              <w:jc w:val="center"/>
                              <w:rPr>
                                <w:rFonts w:ascii="Arial" w:hAnsi="Arial" w:cs="Arial"/>
                                <w:i/>
                                <w:iCs/>
                                <w:sz w:val="22"/>
                                <w:szCs w:val="22"/>
                                <w:lang w:val="en-GB"/>
                              </w:rPr>
                            </w:pPr>
                            <w:r w:rsidRPr="0068426F">
                              <w:rPr>
                                <w:rFonts w:ascii="Arial" w:hAnsi="Arial" w:cs="Arial"/>
                                <w:i/>
                                <w:iCs/>
                                <w:sz w:val="22"/>
                                <w:szCs w:val="22"/>
                                <w:lang w:val="en-GB"/>
                              </w:rPr>
                              <w:t xml:space="preserve">The project goals are to rationally design </w:t>
                            </w:r>
                            <w:proofErr w:type="spellStart"/>
                            <w:r w:rsidRPr="0068426F">
                              <w:rPr>
                                <w:rFonts w:ascii="Arial" w:hAnsi="Arial" w:cs="Arial"/>
                                <w:i/>
                                <w:iCs/>
                                <w:sz w:val="22"/>
                                <w:szCs w:val="22"/>
                                <w:lang w:val="en-GB"/>
                              </w:rPr>
                              <w:t>peptoids</w:t>
                            </w:r>
                            <w:proofErr w:type="spellEnd"/>
                            <w:r w:rsidR="0068426F" w:rsidRPr="0068426F">
                              <w:rPr>
                                <w:rFonts w:ascii="Arial" w:hAnsi="Arial" w:cs="Arial"/>
                                <w:i/>
                                <w:iCs/>
                                <w:sz w:val="22"/>
                                <w:szCs w:val="22"/>
                                <w:lang w:val="en-GB"/>
                              </w:rPr>
                              <w:t xml:space="preserve"> </w:t>
                            </w:r>
                            <w:r w:rsidRPr="0068426F">
                              <w:rPr>
                                <w:rFonts w:ascii="Arial" w:hAnsi="Arial" w:cs="Arial"/>
                                <w:i/>
                                <w:iCs/>
                                <w:sz w:val="22"/>
                                <w:szCs w:val="22"/>
                                <w:lang w:val="en-GB"/>
                              </w:rPr>
                              <w:t>that can controllably self-assembled and disassembled through in environmental triggers.  Antimicrobial function for such systems typically only manifests in the assembled state, allowing for controllable antimicrobial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39E63B" id="_x0000_t202" coordsize="21600,21600" o:spt="202" path="m,l,21600r21600,l21600,xe">
                <v:stroke joinstyle="miter"/>
                <v:path gradientshapeok="t" o:connecttype="rect"/>
              </v:shapetype>
              <v:shape id="Text Box 2" o:spid="_x0000_s1026" type="#_x0000_t202" style="position:absolute;left:0;text-align:left;margin-left:164.2pt;margin-top:10.8pt;width:274.55pt;height:2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" fillcolor="white [3201]" stroked="f" strokeweight=".5pt">
                <v:textbox>
                  <w:txbxContent>
                    <w:p w14:paraId="3BDF1A69" w14:textId="77777777" w:rsidR="003449E4" w:rsidRPr="0068426F" w:rsidRDefault="003449E4" w:rsidP="0068426F">
                      <w:pPr>
                        <w:jc w:val="center"/>
                        <w:rPr>
                          <w:rFonts w:ascii="Arial" w:hAnsi="Arial" w:cs="Arial"/>
                          <w:b/>
                          <w:bCs/>
                          <w:i/>
                          <w:iCs/>
                          <w:sz w:val="22"/>
                          <w:szCs w:val="22"/>
                          <w:lang w:val="en-GB"/>
                        </w:rPr>
                      </w:pPr>
                      <w:r w:rsidRPr="0068426F">
                        <w:rPr>
                          <w:i/>
                          <w:iCs/>
                          <w:noProof/>
                        </w:rPr>
                        <w:drawing>
                          <wp:inline distT="0" distB="0" distL="0" distR="0" wp14:anchorId="4F7232D7" wp14:editId="6B154DA0">
                            <wp:extent cx="3110947" cy="1785160"/>
                            <wp:effectExtent l="0" t="0" r="0" b="5715"/>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8885" cy="1801192"/>
                                    </a:xfrm>
                                    <a:prstGeom prst="rect">
                                      <a:avLst/>
                                    </a:prstGeom>
                                  </pic:spPr>
                                </pic:pic>
                              </a:graphicData>
                            </a:graphic>
                          </wp:inline>
                        </w:drawing>
                      </w:r>
                    </w:p>
                    <w:p w14:paraId="7904FD31" w14:textId="7A34AFFB" w:rsidR="003449E4" w:rsidRPr="0068426F" w:rsidRDefault="003449E4" w:rsidP="0068426F">
                      <w:pPr>
                        <w:jc w:val="center"/>
                        <w:rPr>
                          <w:rFonts w:ascii="Arial" w:hAnsi="Arial" w:cs="Arial"/>
                          <w:i/>
                          <w:iCs/>
                          <w:sz w:val="22"/>
                          <w:szCs w:val="22"/>
                          <w:lang w:val="en-GB"/>
                        </w:rPr>
                      </w:pPr>
                      <w:r w:rsidRPr="0068426F">
                        <w:rPr>
                          <w:rFonts w:ascii="Arial" w:hAnsi="Arial" w:cs="Arial"/>
                          <w:i/>
                          <w:iCs/>
                          <w:sz w:val="22"/>
                          <w:szCs w:val="22"/>
                          <w:lang w:val="en-GB"/>
                        </w:rPr>
                        <w:t xml:space="preserve">The project goals are to rationally design </w:t>
                      </w:r>
                      <w:proofErr w:type="spellStart"/>
                      <w:r w:rsidRPr="0068426F">
                        <w:rPr>
                          <w:rFonts w:ascii="Arial" w:hAnsi="Arial" w:cs="Arial"/>
                          <w:i/>
                          <w:iCs/>
                          <w:sz w:val="22"/>
                          <w:szCs w:val="22"/>
                          <w:lang w:val="en-GB"/>
                        </w:rPr>
                        <w:t>peptoids</w:t>
                      </w:r>
                      <w:proofErr w:type="spellEnd"/>
                      <w:r w:rsidR="0068426F" w:rsidRPr="0068426F">
                        <w:rPr>
                          <w:rFonts w:ascii="Arial" w:hAnsi="Arial" w:cs="Arial"/>
                          <w:i/>
                          <w:iCs/>
                          <w:sz w:val="22"/>
                          <w:szCs w:val="22"/>
                          <w:lang w:val="en-GB"/>
                        </w:rPr>
                        <w:t xml:space="preserve"> </w:t>
                      </w:r>
                      <w:r w:rsidRPr="0068426F">
                        <w:rPr>
                          <w:rFonts w:ascii="Arial" w:hAnsi="Arial" w:cs="Arial"/>
                          <w:i/>
                          <w:iCs/>
                          <w:sz w:val="22"/>
                          <w:szCs w:val="22"/>
                          <w:lang w:val="en-GB"/>
                        </w:rPr>
                        <w:t>that can controllably self-assembled and disassembled through in environmental triggers.  Antimicrobial function for such systems typically only manifests in the assembled state, allowing for controllable antimicrobial function.</w:t>
                      </w:r>
                    </w:p>
                  </w:txbxContent>
                </v:textbox>
                <w10:wrap type="square"/>
              </v:shape>
            </w:pict>
          </mc:Fallback>
        </mc:AlternateContent>
      </w:r>
    </w:p>
    <w:p w14:paraId="01A8E997" w14:textId="7C0E0022" w:rsidR="00B5052F" w:rsidRPr="00B5052F" w:rsidRDefault="003449E4" w:rsidP="003B0FA8">
      <w:pPr>
        <w:spacing w:after="120"/>
        <w:jc w:val="both"/>
        <w:rPr>
          <w:rFonts w:ascii="Arial" w:hAnsi="Arial" w:cs="Arial"/>
          <w:bCs/>
        </w:rPr>
      </w:pPr>
      <w:r>
        <w:rPr>
          <w:rFonts w:ascii="Arial" w:hAnsi="Arial" w:cs="Arial"/>
          <w:bCs/>
        </w:rPr>
        <w:t>In this project, you</w:t>
      </w:r>
      <w:r w:rsidR="00B5052F" w:rsidRPr="00B5052F">
        <w:rPr>
          <w:rFonts w:ascii="Arial" w:hAnsi="Arial" w:cs="Arial"/>
          <w:bCs/>
        </w:rPr>
        <w:t xml:space="preserve"> will work with small molecules to construct novel switchable antimicrobial materials. Recognizing the limitations of peptides as drug candidates due to their vulnerability to proteolytic degradation, we will instead explore the potential of peptide analogs called peptoids. Your primary objective will involve devising effective strategies to assemble these peptoids into supramolecular hydrogels, leveraging various external stimuli such as light, ionic strength, pH, and chemical triggers. To evaluate and characterize the resulting peptoid hydrogels, you will employ advanced microrheology techniques. </w:t>
      </w:r>
      <w:r>
        <w:rPr>
          <w:rFonts w:ascii="Arial" w:hAnsi="Arial" w:cs="Arial"/>
          <w:bCs/>
        </w:rPr>
        <w:t xml:space="preserve">Using recent advances in </w:t>
      </w:r>
      <w:r w:rsidR="00B5052F" w:rsidRPr="00B5052F">
        <w:rPr>
          <w:rFonts w:ascii="Arial" w:hAnsi="Arial" w:cs="Arial"/>
          <w:bCs/>
        </w:rPr>
        <w:t xml:space="preserve">microrheology </w:t>
      </w:r>
      <w:r>
        <w:rPr>
          <w:rFonts w:ascii="Arial" w:hAnsi="Arial" w:cs="Arial"/>
          <w:bCs/>
        </w:rPr>
        <w:t>instrumentation you will</w:t>
      </w:r>
      <w:r w:rsidR="00B5052F" w:rsidRPr="00B5052F">
        <w:rPr>
          <w:rFonts w:ascii="Arial" w:hAnsi="Arial" w:cs="Arial"/>
          <w:bCs/>
        </w:rPr>
        <w:t xml:space="preserve"> measure</w:t>
      </w:r>
      <w:r>
        <w:rPr>
          <w:rFonts w:ascii="Arial" w:hAnsi="Arial" w:cs="Arial"/>
          <w:bCs/>
        </w:rPr>
        <w:t xml:space="preserve"> the hydrogel</w:t>
      </w:r>
      <w:r w:rsidR="00B5052F" w:rsidRPr="00B5052F">
        <w:rPr>
          <w:rFonts w:ascii="Arial" w:hAnsi="Arial" w:cs="Arial"/>
          <w:bCs/>
        </w:rPr>
        <w:t xml:space="preserve"> viscoelasticity by analyzing rotational diffusion of embedded particles and fluorescence polarization using a multi-well plate reader. This high-throughput methodology</w:t>
      </w:r>
      <w:r>
        <w:rPr>
          <w:rFonts w:ascii="Arial" w:hAnsi="Arial" w:cs="Arial"/>
          <w:bCs/>
        </w:rPr>
        <w:t xml:space="preserve"> </w:t>
      </w:r>
      <w:r w:rsidR="00B5052F" w:rsidRPr="00B5052F">
        <w:rPr>
          <w:rFonts w:ascii="Arial" w:hAnsi="Arial" w:cs="Arial"/>
          <w:bCs/>
        </w:rPr>
        <w:t>requir</w:t>
      </w:r>
      <w:r>
        <w:rPr>
          <w:rFonts w:ascii="Arial" w:hAnsi="Arial" w:cs="Arial"/>
          <w:bCs/>
        </w:rPr>
        <w:t>es</w:t>
      </w:r>
      <w:r w:rsidR="00B5052F" w:rsidRPr="00B5052F">
        <w:rPr>
          <w:rFonts w:ascii="Arial" w:hAnsi="Arial" w:cs="Arial"/>
          <w:bCs/>
        </w:rPr>
        <w:t xml:space="preserve"> minimal sample volumes, offers an ideal platform for thorough exploration of a wide compositional parameter space.</w:t>
      </w:r>
    </w:p>
    <w:p w14:paraId="2ACD167F" w14:textId="28372556" w:rsidR="00441021" w:rsidRPr="00E87B17" w:rsidRDefault="00B5052F" w:rsidP="003B0FA8">
      <w:pPr>
        <w:spacing w:after="120"/>
        <w:jc w:val="both"/>
        <w:rPr>
          <w:rFonts w:ascii="Arial" w:hAnsi="Arial" w:cs="Arial"/>
          <w:bCs/>
        </w:rPr>
      </w:pPr>
      <w:r w:rsidRPr="00B5052F">
        <w:rPr>
          <w:rFonts w:ascii="Arial" w:hAnsi="Arial" w:cs="Arial"/>
          <w:bCs/>
        </w:rPr>
        <w:t>Once promising candidate peptoids are identified, you will delve into the intricate kinetics of assembly and disassembly. Employing microfluidic devices, you will investigate the triggers responsible for peptoid assembly and disassembly, ensuring precise control over their switchable properties.</w:t>
      </w:r>
      <w:r w:rsidR="003449E4">
        <w:rPr>
          <w:rFonts w:ascii="Arial" w:hAnsi="Arial" w:cs="Arial"/>
          <w:bCs/>
        </w:rPr>
        <w:t xml:space="preserve"> </w:t>
      </w:r>
      <w:r w:rsidRPr="00B5052F">
        <w:rPr>
          <w:rFonts w:ascii="Arial" w:hAnsi="Arial" w:cs="Arial"/>
          <w:bCs/>
        </w:rPr>
        <w:t xml:space="preserve">In the final phase of the project, you will collaborate with clinical partners at </w:t>
      </w:r>
      <w:r w:rsidR="006C6B46">
        <w:rPr>
          <w:rFonts w:ascii="Arial" w:hAnsi="Arial" w:cs="Arial"/>
          <w:bCs/>
        </w:rPr>
        <w:t xml:space="preserve">Queens University Belfast </w:t>
      </w:r>
      <w:r w:rsidRPr="00B5052F">
        <w:rPr>
          <w:rFonts w:ascii="Arial" w:hAnsi="Arial" w:cs="Arial"/>
          <w:bCs/>
        </w:rPr>
        <w:t xml:space="preserve">to assess the effectiveness of the self-assembled peptoids. Working closely with the clinical collaborators, you will expose </w:t>
      </w:r>
      <w:proofErr w:type="gramStart"/>
      <w:r w:rsidRPr="00A94CBE">
        <w:rPr>
          <w:rFonts w:ascii="Arial" w:hAnsi="Arial" w:cs="Arial"/>
          <w:bCs/>
          <w:i/>
          <w:iCs/>
        </w:rPr>
        <w:t>E.coli</w:t>
      </w:r>
      <w:proofErr w:type="gramEnd"/>
      <w:r w:rsidRPr="00B5052F">
        <w:rPr>
          <w:rFonts w:ascii="Arial" w:hAnsi="Arial" w:cs="Arial"/>
          <w:bCs/>
        </w:rPr>
        <w:t xml:space="preserve"> bacteria to both peptoid monomers and supramolecular hydrogels, elucidating their antimicrobial activity and potential for clinical applications.</w:t>
      </w:r>
    </w:p>
    <w:sectPr w:rsidR="00441021" w:rsidRPr="00E87B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C356" w14:textId="77777777" w:rsidR="00E601CC" w:rsidRDefault="00E601CC" w:rsidP="00E601CC">
      <w:r>
        <w:separator/>
      </w:r>
    </w:p>
  </w:endnote>
  <w:endnote w:type="continuationSeparator" w:id="0">
    <w:p w14:paraId="36208885" w14:textId="77777777" w:rsidR="00E601CC" w:rsidRDefault="00E601CC" w:rsidP="00E6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3119" w14:textId="77777777" w:rsidR="00E601CC" w:rsidRDefault="00E601CC" w:rsidP="00E601CC">
      <w:r>
        <w:separator/>
      </w:r>
    </w:p>
  </w:footnote>
  <w:footnote w:type="continuationSeparator" w:id="0">
    <w:p w14:paraId="56D4BE68" w14:textId="77777777" w:rsidR="00E601CC" w:rsidRDefault="00E601CC" w:rsidP="00E60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21"/>
    <w:rsid w:val="0000526A"/>
    <w:rsid w:val="00146DB4"/>
    <w:rsid w:val="001F20F0"/>
    <w:rsid w:val="00240337"/>
    <w:rsid w:val="002F34DD"/>
    <w:rsid w:val="00312F5D"/>
    <w:rsid w:val="003449E4"/>
    <w:rsid w:val="003B0FA8"/>
    <w:rsid w:val="00441021"/>
    <w:rsid w:val="004A5EE7"/>
    <w:rsid w:val="00606A21"/>
    <w:rsid w:val="0068426F"/>
    <w:rsid w:val="006C6B46"/>
    <w:rsid w:val="007206C0"/>
    <w:rsid w:val="0085565F"/>
    <w:rsid w:val="008A6D04"/>
    <w:rsid w:val="009F655F"/>
    <w:rsid w:val="00A02AB5"/>
    <w:rsid w:val="00A94CBE"/>
    <w:rsid w:val="00B36DB7"/>
    <w:rsid w:val="00B5052F"/>
    <w:rsid w:val="00E601CC"/>
    <w:rsid w:val="00E87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96D4"/>
  <w15:chartTrackingRefBased/>
  <w15:docId w15:val="{DFF995AD-A491-43CD-B123-79C9F8E3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021"/>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601CC"/>
    <w:rPr>
      <w:sz w:val="16"/>
      <w:szCs w:val="16"/>
    </w:rPr>
  </w:style>
  <w:style w:type="paragraph" w:styleId="FootnoteText">
    <w:name w:val="footnote text"/>
    <w:basedOn w:val="Normal"/>
    <w:link w:val="FootnoteTextChar"/>
    <w:semiHidden/>
    <w:unhideWhenUsed/>
    <w:rsid w:val="00E601CC"/>
    <w:rPr>
      <w:sz w:val="20"/>
    </w:rPr>
  </w:style>
  <w:style w:type="character" w:customStyle="1" w:styleId="FootnoteTextChar">
    <w:name w:val="Footnote Text Char"/>
    <w:basedOn w:val="DefaultParagraphFont"/>
    <w:link w:val="FootnoteText"/>
    <w:semiHidden/>
    <w:rsid w:val="00E601CC"/>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E60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5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Koutsos</dc:creator>
  <cp:keywords/>
  <dc:description/>
  <cp:lastModifiedBy>AUFDERHORST-ROBERTS, ANDERS</cp:lastModifiedBy>
  <cp:revision>5</cp:revision>
  <dcterms:created xsi:type="dcterms:W3CDTF">2023-07-05T13:12:00Z</dcterms:created>
  <dcterms:modified xsi:type="dcterms:W3CDTF">2023-07-05T13:21:00Z</dcterms:modified>
</cp:coreProperties>
</file>